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C27" w:rsidRDefault="00E15327">
      <w:pPr>
        <w:snapToGrid w:val="0"/>
        <w:spacing w:line="500" w:lineRule="exact"/>
        <w:jc w:val="center"/>
        <w:rPr>
          <w:rFonts w:ascii="黑体" w:eastAsia="黑体" w:hAnsi="黑体"/>
          <w:b/>
          <w:sz w:val="32"/>
          <w:szCs w:val="32"/>
        </w:rPr>
      </w:pPr>
      <w:r>
        <w:rPr>
          <w:rFonts w:ascii="黑体" w:eastAsia="黑体" w:hAnsi="黑体" w:hint="eastAsia"/>
          <w:b/>
          <w:sz w:val="32"/>
          <w:szCs w:val="32"/>
        </w:rPr>
        <w:t>浙江天乐数码电器</w:t>
      </w:r>
      <w:r>
        <w:rPr>
          <w:rFonts w:ascii="黑体" w:eastAsia="黑体" w:hAnsi="黑体" w:hint="eastAsia"/>
          <w:b/>
          <w:sz w:val="32"/>
          <w:szCs w:val="32"/>
        </w:rPr>
        <w:t>有限公司破产清算案</w:t>
      </w:r>
    </w:p>
    <w:p w:rsidR="00253C27" w:rsidRDefault="00E15327">
      <w:pPr>
        <w:snapToGrid w:val="0"/>
        <w:spacing w:line="500" w:lineRule="exact"/>
        <w:jc w:val="center"/>
        <w:rPr>
          <w:rFonts w:ascii="黑体" w:eastAsia="黑体" w:hAnsi="黑体"/>
          <w:b/>
          <w:sz w:val="32"/>
          <w:szCs w:val="32"/>
        </w:rPr>
      </w:pPr>
      <w:r>
        <w:rPr>
          <w:rFonts w:ascii="黑体" w:eastAsia="黑体" w:hAnsi="黑体" w:hint="eastAsia"/>
          <w:b/>
          <w:sz w:val="32"/>
          <w:szCs w:val="32"/>
        </w:rPr>
        <w:t>债权申报须知</w:t>
      </w:r>
    </w:p>
    <w:p w:rsidR="00253C27" w:rsidRDefault="00E15327">
      <w:pPr>
        <w:snapToGrid w:val="0"/>
        <w:spacing w:line="420" w:lineRule="exact"/>
        <w:rPr>
          <w:rFonts w:ascii="宋体" w:eastAsia="宋体" w:hAnsi="宋体"/>
          <w:sz w:val="24"/>
          <w:szCs w:val="24"/>
        </w:rPr>
      </w:pPr>
      <w:r>
        <w:rPr>
          <w:rFonts w:asciiTheme="minorEastAsia" w:hAnsiTheme="minorEastAsia" w:hint="eastAsia"/>
          <w:sz w:val="24"/>
          <w:szCs w:val="24"/>
        </w:rPr>
        <w:t xml:space="preserve">    </w:t>
      </w:r>
      <w:r>
        <w:rPr>
          <w:rFonts w:ascii="宋体" w:eastAsia="宋体" w:hAnsi="宋体" w:hint="eastAsia"/>
          <w:sz w:val="24"/>
          <w:szCs w:val="24"/>
        </w:rPr>
        <w:t>浙江省绍兴市中级</w:t>
      </w:r>
      <w:r>
        <w:rPr>
          <w:rFonts w:ascii="宋体" w:eastAsia="宋体" w:hAnsi="宋体" w:hint="eastAsia"/>
          <w:sz w:val="24"/>
          <w:szCs w:val="24"/>
        </w:rPr>
        <w:t>人民法院于</w:t>
      </w:r>
      <w:r>
        <w:rPr>
          <w:rFonts w:ascii="宋体" w:eastAsia="宋体" w:hAnsi="宋体" w:hint="eastAsia"/>
          <w:sz w:val="24"/>
          <w:szCs w:val="24"/>
        </w:rPr>
        <w:t>2018</w:t>
      </w:r>
      <w:r>
        <w:rPr>
          <w:rFonts w:ascii="宋体" w:eastAsia="宋体" w:hAnsi="宋体" w:hint="eastAsia"/>
          <w:sz w:val="24"/>
          <w:szCs w:val="24"/>
        </w:rPr>
        <w:t>年</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3</w:t>
      </w:r>
      <w:r>
        <w:rPr>
          <w:rFonts w:ascii="宋体" w:eastAsia="宋体" w:hAnsi="宋体" w:hint="eastAsia"/>
          <w:sz w:val="24"/>
          <w:szCs w:val="24"/>
        </w:rPr>
        <w:t>日根据</w:t>
      </w:r>
      <w:r>
        <w:rPr>
          <w:rFonts w:ascii="宋体" w:eastAsia="宋体" w:hAnsi="宋体" w:hint="eastAsia"/>
          <w:sz w:val="24"/>
          <w:szCs w:val="24"/>
        </w:rPr>
        <w:t>苏州晟诺光电科技有限公司</w:t>
      </w:r>
      <w:r>
        <w:rPr>
          <w:rFonts w:ascii="宋体" w:eastAsia="宋体" w:hAnsi="宋体" w:hint="eastAsia"/>
          <w:sz w:val="24"/>
          <w:szCs w:val="24"/>
        </w:rPr>
        <w:t>的申请，裁定受理</w:t>
      </w:r>
      <w:r>
        <w:rPr>
          <w:rFonts w:ascii="宋体" w:eastAsia="宋体" w:hAnsi="宋体" w:hint="eastAsia"/>
          <w:sz w:val="24"/>
          <w:szCs w:val="24"/>
        </w:rPr>
        <w:t>浙江天乐数码电器</w:t>
      </w:r>
      <w:r>
        <w:rPr>
          <w:rFonts w:ascii="宋体" w:eastAsia="宋体" w:hAnsi="宋体" w:hint="eastAsia"/>
          <w:sz w:val="24"/>
          <w:szCs w:val="24"/>
        </w:rPr>
        <w:t>有限公司破产清算一案，并指定浙江泽大（新昌）律师事务所担任</w:t>
      </w:r>
      <w:r>
        <w:rPr>
          <w:rFonts w:ascii="宋体" w:eastAsia="宋体" w:hAnsi="宋体" w:hint="eastAsia"/>
          <w:sz w:val="24"/>
          <w:szCs w:val="24"/>
        </w:rPr>
        <w:t>浙江天乐数码电器</w:t>
      </w:r>
      <w:r>
        <w:rPr>
          <w:rFonts w:ascii="宋体" w:eastAsia="宋体" w:hAnsi="宋体" w:hint="eastAsia"/>
          <w:sz w:val="24"/>
          <w:szCs w:val="24"/>
        </w:rPr>
        <w:t>有限公司管理人</w:t>
      </w:r>
      <w:r>
        <w:rPr>
          <w:rFonts w:ascii="宋体" w:eastAsia="宋体" w:hAnsi="宋体" w:hint="eastAsia"/>
          <w:sz w:val="24"/>
          <w:szCs w:val="24"/>
        </w:rPr>
        <w:t>，</w:t>
      </w:r>
      <w:r>
        <w:rPr>
          <w:rFonts w:ascii="宋体" w:eastAsia="宋体" w:hAnsi="宋体" w:hint="eastAsia"/>
          <w:sz w:val="24"/>
          <w:szCs w:val="24"/>
        </w:rPr>
        <w:t>后浙江省中级人民法院报请移交管辖申请，由浙江省高级人民法院批复同意将案件移交嵊州市人民法院审理</w:t>
      </w:r>
      <w:r>
        <w:rPr>
          <w:rFonts w:ascii="宋体" w:eastAsia="宋体" w:hAnsi="宋体" w:hint="eastAsia"/>
          <w:sz w:val="24"/>
          <w:szCs w:val="24"/>
        </w:rPr>
        <w:t>。为明确</w:t>
      </w:r>
      <w:r>
        <w:rPr>
          <w:rFonts w:ascii="宋体" w:eastAsia="宋体" w:hAnsi="宋体" w:hint="eastAsia"/>
          <w:sz w:val="24"/>
          <w:szCs w:val="24"/>
        </w:rPr>
        <w:t>浙江天乐数码电器</w:t>
      </w:r>
      <w:r>
        <w:rPr>
          <w:rFonts w:ascii="宋体" w:eastAsia="宋体" w:hAnsi="宋体" w:hint="eastAsia"/>
          <w:sz w:val="24"/>
          <w:szCs w:val="24"/>
        </w:rPr>
        <w:t>有限公司债权人及利害关系人在债权申报阶段之权利、义务，现管理人就债权申报事项告知如下：</w:t>
      </w:r>
    </w:p>
    <w:p w:rsidR="00253C27" w:rsidRDefault="00E15327">
      <w:pPr>
        <w:snapToGrid w:val="0"/>
        <w:spacing w:line="420" w:lineRule="exac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一、嵊州市人民法院已发布了“受理</w:t>
      </w:r>
      <w:r>
        <w:rPr>
          <w:rFonts w:ascii="宋体" w:eastAsia="宋体" w:hAnsi="宋体" w:hint="eastAsia"/>
          <w:sz w:val="24"/>
          <w:szCs w:val="24"/>
        </w:rPr>
        <w:t>浙江天乐数码电器</w:t>
      </w:r>
      <w:r>
        <w:rPr>
          <w:rFonts w:ascii="宋体" w:eastAsia="宋体" w:hAnsi="宋体" w:hint="eastAsia"/>
          <w:sz w:val="24"/>
          <w:szCs w:val="24"/>
        </w:rPr>
        <w:t>有限公司”破产清算案的公告，为保障债权人权益，债权人应当在嵊州市人民法院规定的申报期限，即</w:t>
      </w:r>
      <w:r>
        <w:rPr>
          <w:rFonts w:ascii="宋体" w:eastAsia="宋体" w:hAnsi="宋体" w:hint="eastAsia"/>
          <w:b/>
          <w:sz w:val="24"/>
          <w:szCs w:val="24"/>
        </w:rPr>
        <w:t>2018</w:t>
      </w:r>
      <w:r>
        <w:rPr>
          <w:rFonts w:ascii="宋体" w:eastAsia="宋体" w:hAnsi="宋体" w:hint="eastAsia"/>
          <w:b/>
          <w:sz w:val="24"/>
          <w:szCs w:val="24"/>
        </w:rPr>
        <w:t>年</w:t>
      </w:r>
      <w:r>
        <w:rPr>
          <w:rFonts w:ascii="宋体" w:eastAsia="宋体" w:hAnsi="宋体" w:hint="eastAsia"/>
          <w:b/>
          <w:sz w:val="24"/>
          <w:szCs w:val="24"/>
        </w:rPr>
        <w:t>10</w:t>
      </w:r>
      <w:r>
        <w:rPr>
          <w:rFonts w:ascii="宋体" w:eastAsia="宋体" w:hAnsi="宋体" w:hint="eastAsia"/>
          <w:b/>
          <w:sz w:val="24"/>
          <w:szCs w:val="24"/>
        </w:rPr>
        <w:t>月</w:t>
      </w:r>
      <w:r>
        <w:rPr>
          <w:rFonts w:ascii="宋体" w:eastAsia="宋体" w:hAnsi="宋体" w:hint="eastAsia"/>
          <w:b/>
          <w:sz w:val="24"/>
          <w:szCs w:val="24"/>
        </w:rPr>
        <w:t>1</w:t>
      </w:r>
      <w:r>
        <w:rPr>
          <w:rFonts w:ascii="宋体" w:eastAsia="宋体" w:hAnsi="宋体" w:hint="eastAsia"/>
          <w:b/>
          <w:sz w:val="24"/>
          <w:szCs w:val="24"/>
        </w:rPr>
        <w:t>6</w:t>
      </w:r>
      <w:r>
        <w:rPr>
          <w:rFonts w:ascii="宋体" w:eastAsia="宋体" w:hAnsi="宋体" w:hint="eastAsia"/>
          <w:b/>
          <w:sz w:val="24"/>
          <w:szCs w:val="24"/>
        </w:rPr>
        <w:t>日</w:t>
      </w:r>
      <w:r>
        <w:rPr>
          <w:rFonts w:ascii="宋体" w:eastAsia="宋体" w:hAnsi="宋体" w:hint="eastAsia"/>
          <w:sz w:val="24"/>
          <w:szCs w:val="24"/>
        </w:rPr>
        <w:t>前完成债权申报。</w:t>
      </w:r>
    </w:p>
    <w:p w:rsidR="00253C27" w:rsidRDefault="00E15327">
      <w:pPr>
        <w:snapToGrid w:val="0"/>
        <w:spacing w:line="420" w:lineRule="exac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二、根据《企业破产法》的规定，债权是指人民法院受理破产申请时对债务人享有的债权。</w:t>
      </w:r>
    </w:p>
    <w:p w:rsidR="00253C27" w:rsidRDefault="00E15327">
      <w:pPr>
        <w:spacing w:line="420" w:lineRule="exact"/>
        <w:rPr>
          <w:rFonts w:ascii="宋体" w:eastAsia="宋体" w:hAnsi="宋体"/>
          <w:b/>
          <w:sz w:val="24"/>
          <w:szCs w:val="24"/>
        </w:rPr>
      </w:pPr>
      <w:r>
        <w:rPr>
          <w:rFonts w:ascii="宋体" w:eastAsia="宋体" w:hAnsi="宋体" w:hint="eastAsia"/>
          <w:b/>
          <w:sz w:val="24"/>
          <w:szCs w:val="24"/>
        </w:rPr>
        <w:t xml:space="preserve">    </w:t>
      </w:r>
      <w:r>
        <w:rPr>
          <w:rFonts w:ascii="宋体" w:eastAsia="宋体" w:hAnsi="宋体" w:hint="eastAsia"/>
          <w:b/>
          <w:sz w:val="24"/>
          <w:szCs w:val="24"/>
        </w:rPr>
        <w:t>债权人在申报债权时应当注意以下几点：</w:t>
      </w:r>
      <w:r>
        <w:rPr>
          <w:rFonts w:ascii="宋体" w:eastAsia="宋体" w:hAnsi="宋体" w:hint="eastAsia"/>
          <w:b/>
          <w:sz w:val="24"/>
          <w:szCs w:val="24"/>
        </w:rPr>
        <w:t xml:space="preserve"> </w:t>
      </w:r>
    </w:p>
    <w:p w:rsidR="00253C27" w:rsidRDefault="00E15327">
      <w:pPr>
        <w:spacing w:line="420" w:lineRule="exact"/>
        <w:rPr>
          <w:rFonts w:ascii="宋体" w:eastAsia="宋体" w:hAnsi="宋体"/>
          <w:sz w:val="24"/>
          <w:szCs w:val="24"/>
        </w:rPr>
      </w:pPr>
      <w:r>
        <w:rPr>
          <w:rFonts w:ascii="宋体" w:eastAsia="宋体" w:hAnsi="宋体" w:hint="eastAsia"/>
          <w:sz w:val="24"/>
          <w:szCs w:val="24"/>
        </w:rPr>
        <w:t xml:space="preserve">    1</w:t>
      </w:r>
      <w:r>
        <w:rPr>
          <w:rFonts w:ascii="宋体" w:eastAsia="宋体" w:hAnsi="宋体" w:hint="eastAsia"/>
          <w:sz w:val="24"/>
          <w:szCs w:val="24"/>
        </w:rPr>
        <w:t>、未到期的债权，在破产申请受理时视为债权到期；</w:t>
      </w:r>
      <w:r>
        <w:rPr>
          <w:rFonts w:ascii="宋体" w:eastAsia="宋体" w:hAnsi="宋体" w:hint="eastAsia"/>
          <w:sz w:val="24"/>
          <w:szCs w:val="24"/>
        </w:rPr>
        <w:t xml:space="preserve"> </w:t>
      </w:r>
    </w:p>
    <w:p w:rsidR="00253C27" w:rsidRDefault="00E15327">
      <w:pPr>
        <w:spacing w:line="420" w:lineRule="exact"/>
        <w:rPr>
          <w:rFonts w:ascii="宋体" w:eastAsia="宋体" w:hAnsi="宋体"/>
          <w:sz w:val="24"/>
          <w:szCs w:val="24"/>
        </w:rPr>
      </w:pPr>
      <w:r>
        <w:rPr>
          <w:rFonts w:ascii="宋体" w:eastAsia="宋体" w:hAnsi="宋体" w:hint="eastAsia"/>
          <w:sz w:val="24"/>
          <w:szCs w:val="24"/>
        </w:rPr>
        <w:t xml:space="preserve">    2</w:t>
      </w:r>
      <w:r>
        <w:rPr>
          <w:rFonts w:ascii="宋体" w:eastAsia="宋体" w:hAnsi="宋体" w:hint="eastAsia"/>
          <w:sz w:val="24"/>
          <w:szCs w:val="24"/>
        </w:rPr>
        <w:t>、附利息的债权，自破产申请受理时起停止计息；</w:t>
      </w:r>
      <w:r>
        <w:rPr>
          <w:rFonts w:ascii="宋体" w:eastAsia="宋体" w:hAnsi="宋体" w:hint="eastAsia"/>
          <w:sz w:val="24"/>
          <w:szCs w:val="24"/>
        </w:rPr>
        <w:t xml:space="preserve"> </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、附条件、附期限的债权和诉讼、仲裁未决的债权，债权人可以申报；</w:t>
      </w:r>
      <w:r>
        <w:rPr>
          <w:rFonts w:ascii="宋体" w:eastAsia="宋体" w:hAnsi="宋体" w:hint="eastAsia"/>
          <w:sz w:val="24"/>
          <w:szCs w:val="24"/>
        </w:rPr>
        <w:t xml:space="preserve"> </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、债权人申报债权时，应当书面说明债权的数额和有无财产担保情况，并提交有关证据；申报的债权是连带债权的，应当说明；</w:t>
      </w:r>
      <w:r>
        <w:rPr>
          <w:rFonts w:ascii="宋体" w:eastAsia="宋体" w:hAnsi="宋体" w:hint="eastAsia"/>
          <w:sz w:val="24"/>
          <w:szCs w:val="24"/>
        </w:rPr>
        <w:t xml:space="preserve"> </w:t>
      </w:r>
    </w:p>
    <w:p w:rsidR="00253C27" w:rsidRDefault="00E15327">
      <w:pPr>
        <w:spacing w:line="420" w:lineRule="exact"/>
        <w:rPr>
          <w:rFonts w:ascii="宋体" w:eastAsia="宋体" w:hAnsi="宋体"/>
          <w:sz w:val="24"/>
          <w:szCs w:val="24"/>
        </w:rPr>
      </w:pPr>
      <w:r>
        <w:rPr>
          <w:rFonts w:ascii="宋体" w:eastAsia="宋体" w:hAnsi="宋体" w:hint="eastAsia"/>
          <w:sz w:val="24"/>
          <w:szCs w:val="24"/>
        </w:rPr>
        <w:t xml:space="preserve">    5</w:t>
      </w:r>
      <w:r>
        <w:rPr>
          <w:rFonts w:ascii="宋体" w:eastAsia="宋体" w:hAnsi="宋体" w:hint="eastAsia"/>
          <w:sz w:val="24"/>
          <w:szCs w:val="24"/>
        </w:rPr>
        <w:t>、连带债权人可以由其中一人代表全体连带债权人申报债权，也可以共同申报债权；</w:t>
      </w:r>
      <w:r>
        <w:rPr>
          <w:rFonts w:ascii="宋体" w:eastAsia="宋体" w:hAnsi="宋体" w:hint="eastAsia"/>
          <w:sz w:val="24"/>
          <w:szCs w:val="24"/>
        </w:rPr>
        <w:t xml:space="preserve"> </w:t>
      </w:r>
    </w:p>
    <w:p w:rsidR="00253C27" w:rsidRDefault="00E15327">
      <w:pPr>
        <w:snapToGrid w:val="0"/>
        <w:spacing w:line="420" w:lineRule="exact"/>
        <w:rPr>
          <w:rFonts w:ascii="宋体" w:eastAsia="宋体" w:hAnsi="宋体"/>
          <w:sz w:val="24"/>
          <w:szCs w:val="24"/>
        </w:rPr>
      </w:pPr>
      <w:r>
        <w:rPr>
          <w:rFonts w:ascii="宋体" w:eastAsia="宋体" w:hAnsi="宋体" w:hint="eastAsia"/>
          <w:sz w:val="24"/>
          <w:szCs w:val="24"/>
        </w:rPr>
        <w:t xml:space="preserve">    6</w:t>
      </w:r>
      <w:r>
        <w:rPr>
          <w:rFonts w:ascii="宋体" w:eastAsia="宋体" w:hAnsi="宋体" w:hint="eastAsia"/>
          <w:sz w:val="24"/>
          <w:szCs w:val="24"/>
        </w:rPr>
        <w:t>、债务人的保证人或者其他连带债务人已经代替债务人清偿债务的，可就其对债务人的求偿权申报债权；</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7</w:t>
      </w:r>
      <w:r>
        <w:rPr>
          <w:rFonts w:ascii="宋体" w:eastAsia="宋体" w:hAnsi="宋体" w:hint="eastAsia"/>
          <w:sz w:val="24"/>
          <w:szCs w:val="24"/>
        </w:rPr>
        <w:t>、债务人的保证人或者其他连带债务人尚未代替债务人清偿债务的，以其对债务人的将来求偿权申报债权。但债权人已经向管理人申报全部债权的除外；</w:t>
      </w:r>
      <w:r>
        <w:rPr>
          <w:rFonts w:ascii="宋体" w:eastAsia="宋体" w:hAnsi="宋体" w:hint="eastAsia"/>
          <w:sz w:val="24"/>
          <w:szCs w:val="24"/>
        </w:rPr>
        <w:t xml:space="preserve"> </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8</w:t>
      </w:r>
      <w:r>
        <w:rPr>
          <w:rFonts w:ascii="宋体" w:eastAsia="宋体" w:hAnsi="宋体" w:hint="eastAsia"/>
          <w:sz w:val="24"/>
          <w:szCs w:val="24"/>
        </w:rPr>
        <w:t>、管理人或者债务人依照《企业破产法》规定解除合同的，对方当事</w:t>
      </w:r>
      <w:r>
        <w:rPr>
          <w:rFonts w:ascii="宋体" w:eastAsia="宋体" w:hAnsi="宋体" w:hint="eastAsia"/>
          <w:sz w:val="24"/>
          <w:szCs w:val="24"/>
        </w:rPr>
        <w:t>人以因合同解除所产生的损害赔偿请求权申报债权；</w:t>
      </w:r>
      <w:r>
        <w:rPr>
          <w:rFonts w:ascii="宋体" w:eastAsia="宋体" w:hAnsi="宋体" w:hint="eastAsia"/>
          <w:sz w:val="24"/>
          <w:szCs w:val="24"/>
        </w:rPr>
        <w:t xml:space="preserve"> </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9</w:t>
      </w:r>
      <w:r>
        <w:rPr>
          <w:rFonts w:ascii="宋体" w:eastAsia="宋体" w:hAnsi="宋体" w:hint="eastAsia"/>
          <w:sz w:val="24"/>
          <w:szCs w:val="24"/>
        </w:rPr>
        <w:t>、债务人是委托合同的委托人，被裁定适用《企业破产法》规定的程序，受托人不知该事实，继续处理委托事务的，受托人以由此产生的请求权申报债权；</w:t>
      </w:r>
      <w:r>
        <w:rPr>
          <w:rFonts w:ascii="宋体" w:eastAsia="宋体" w:hAnsi="宋体" w:hint="eastAsia"/>
          <w:sz w:val="24"/>
          <w:szCs w:val="24"/>
        </w:rPr>
        <w:t xml:space="preserve"> </w:t>
      </w:r>
    </w:p>
    <w:p w:rsidR="00253C27" w:rsidRDefault="00E15327">
      <w:pPr>
        <w:spacing w:line="420" w:lineRule="exact"/>
        <w:rPr>
          <w:rFonts w:ascii="宋体" w:eastAsia="宋体" w:hAnsi="宋体"/>
          <w:sz w:val="24"/>
          <w:szCs w:val="24"/>
        </w:rPr>
      </w:pPr>
      <w:r>
        <w:rPr>
          <w:rFonts w:ascii="宋体" w:eastAsia="宋体" w:hAnsi="宋体" w:hint="eastAsia"/>
          <w:sz w:val="24"/>
          <w:szCs w:val="24"/>
        </w:rPr>
        <w:t xml:space="preserve">    10</w:t>
      </w:r>
      <w:r>
        <w:rPr>
          <w:rFonts w:ascii="宋体" w:eastAsia="宋体" w:hAnsi="宋体" w:hint="eastAsia"/>
          <w:sz w:val="24"/>
          <w:szCs w:val="24"/>
        </w:rPr>
        <w:t>、债务人是票据的出票人，被裁定适用《企业破产法》规定的程序，该票据的付款人继续付款或者承兑的，付款人以由此产生的请求权申报债权。</w:t>
      </w:r>
      <w:r>
        <w:rPr>
          <w:rFonts w:ascii="宋体" w:eastAsia="宋体" w:hAnsi="宋体" w:hint="eastAsia"/>
          <w:sz w:val="24"/>
          <w:szCs w:val="24"/>
        </w:rPr>
        <w:t xml:space="preserve"> </w:t>
      </w:r>
    </w:p>
    <w:p w:rsidR="00253C27" w:rsidRDefault="00E15327">
      <w:pPr>
        <w:snapToGrid w:val="0"/>
        <w:spacing w:line="420" w:lineRule="exact"/>
        <w:ind w:firstLine="480"/>
        <w:rPr>
          <w:rFonts w:ascii="宋体" w:eastAsia="宋体" w:hAnsi="宋体"/>
          <w:sz w:val="24"/>
          <w:szCs w:val="24"/>
        </w:rPr>
      </w:pPr>
      <w:r>
        <w:rPr>
          <w:rFonts w:ascii="宋体" w:eastAsia="宋体" w:hAnsi="宋体" w:hint="eastAsia"/>
          <w:sz w:val="24"/>
          <w:szCs w:val="24"/>
        </w:rPr>
        <w:t>11</w:t>
      </w:r>
      <w:r>
        <w:rPr>
          <w:rFonts w:ascii="宋体" w:eastAsia="宋体" w:hAnsi="宋体" w:hint="eastAsia"/>
          <w:sz w:val="24"/>
          <w:szCs w:val="24"/>
        </w:rPr>
        <w:t>、法律规定其他可以申报的债权，债权人应当予以申报。</w:t>
      </w:r>
    </w:p>
    <w:p w:rsidR="00253C27" w:rsidRDefault="00E15327">
      <w:pPr>
        <w:spacing w:line="420" w:lineRule="exact"/>
        <w:rPr>
          <w:rFonts w:ascii="宋体" w:eastAsia="宋体" w:hAnsi="宋体"/>
          <w:sz w:val="24"/>
          <w:szCs w:val="24"/>
        </w:rPr>
      </w:pPr>
      <w:r>
        <w:rPr>
          <w:rFonts w:ascii="宋体" w:eastAsia="宋体" w:hAnsi="宋体" w:hint="eastAsia"/>
          <w:sz w:val="24"/>
          <w:szCs w:val="24"/>
        </w:rPr>
        <w:lastRenderedPageBreak/>
        <w:t xml:space="preserve">    </w:t>
      </w:r>
      <w:r>
        <w:rPr>
          <w:rFonts w:ascii="宋体" w:eastAsia="宋体" w:hAnsi="宋体" w:hint="eastAsia"/>
          <w:sz w:val="24"/>
          <w:szCs w:val="24"/>
        </w:rPr>
        <w:t>三、根据《企业破产法》规定，</w:t>
      </w:r>
      <w:r>
        <w:rPr>
          <w:rFonts w:ascii="宋体" w:eastAsia="宋体" w:hAnsi="宋体" w:hint="eastAsia"/>
          <w:b/>
          <w:sz w:val="24"/>
          <w:szCs w:val="24"/>
        </w:rPr>
        <w:t>未申报或逾期申报债权的法律后果主要包括：</w:t>
      </w:r>
      <w:r>
        <w:rPr>
          <w:rFonts w:ascii="宋体" w:eastAsia="宋体" w:hAnsi="宋体" w:hint="eastAsia"/>
          <w:sz w:val="24"/>
          <w:szCs w:val="24"/>
        </w:rPr>
        <w:t xml:space="preserve"> </w:t>
      </w:r>
    </w:p>
    <w:p w:rsidR="00253C27" w:rsidRDefault="00E15327">
      <w:pPr>
        <w:spacing w:line="420" w:lineRule="exact"/>
        <w:rPr>
          <w:rFonts w:ascii="宋体" w:eastAsia="宋体" w:hAnsi="宋体"/>
          <w:sz w:val="24"/>
          <w:szCs w:val="24"/>
        </w:rPr>
      </w:pPr>
      <w:r>
        <w:rPr>
          <w:rFonts w:ascii="宋体" w:eastAsia="宋体" w:hAnsi="宋体" w:hint="eastAsia"/>
          <w:sz w:val="24"/>
          <w:szCs w:val="24"/>
        </w:rPr>
        <w:t xml:space="preserve">    1</w:t>
      </w:r>
      <w:r>
        <w:rPr>
          <w:rFonts w:ascii="宋体" w:eastAsia="宋体" w:hAnsi="宋体" w:hint="eastAsia"/>
          <w:sz w:val="24"/>
          <w:szCs w:val="24"/>
        </w:rPr>
        <w:t>、债权人未申报债权的，不得依照</w:t>
      </w:r>
      <w:r>
        <w:rPr>
          <w:rFonts w:ascii="宋体" w:eastAsia="宋体" w:hAnsi="宋体" w:hint="eastAsia"/>
          <w:sz w:val="24"/>
          <w:szCs w:val="24"/>
        </w:rPr>
        <w:t>《企业破产法》规定的程序行使权利。</w:t>
      </w:r>
      <w:r>
        <w:rPr>
          <w:rFonts w:ascii="宋体" w:eastAsia="宋体" w:hAnsi="宋体" w:hint="eastAsia"/>
          <w:sz w:val="24"/>
          <w:szCs w:val="24"/>
        </w:rPr>
        <w:t xml:space="preserve"> </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、债权人逾期申报债权的，可以在破产财产最后分配前补充申报；但是，补充申报前已进行的分配，不再对其补充分配。为审查和确认补充申报债权的费用，由补充申报人承担。</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、如债务人进入重整程序，债权人未按期申报债权，在重整计划执行期间债权人不得行使权利；在重整计划执行完毕后，债权人可以按照重整计划规定的同类债权的清偿条件行使权利。</w:t>
      </w:r>
      <w:r>
        <w:rPr>
          <w:rFonts w:ascii="宋体" w:eastAsia="宋体" w:hAnsi="宋体" w:hint="eastAsia"/>
          <w:sz w:val="24"/>
          <w:szCs w:val="24"/>
        </w:rPr>
        <w:t xml:space="preserve"> </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、如债务人进入破产和解程序，债权人未按期申报债权，在和解协议计划执行期间债权人不得行使权利；债权人在和解协议执行完毕后，可以按照和解协议规定的清</w:t>
      </w:r>
      <w:r>
        <w:rPr>
          <w:rFonts w:ascii="宋体" w:eastAsia="宋体" w:hAnsi="宋体" w:hint="eastAsia"/>
          <w:sz w:val="24"/>
          <w:szCs w:val="24"/>
        </w:rPr>
        <w:t>偿条件行使权利。</w:t>
      </w:r>
      <w:r>
        <w:rPr>
          <w:rFonts w:ascii="宋体" w:eastAsia="宋体" w:hAnsi="宋体" w:hint="eastAsia"/>
          <w:sz w:val="24"/>
          <w:szCs w:val="24"/>
        </w:rPr>
        <w:t xml:space="preserve"> </w:t>
      </w:r>
    </w:p>
    <w:p w:rsidR="00253C27" w:rsidRDefault="00E15327">
      <w:pPr>
        <w:spacing w:line="420" w:lineRule="exact"/>
        <w:ind w:firstLine="480"/>
        <w:rPr>
          <w:rFonts w:ascii="宋体" w:eastAsia="宋体" w:hAnsi="宋体"/>
          <w:b/>
          <w:sz w:val="24"/>
          <w:szCs w:val="24"/>
        </w:rPr>
      </w:pPr>
      <w:r>
        <w:rPr>
          <w:rFonts w:ascii="宋体" w:eastAsia="宋体" w:hAnsi="宋体" w:hint="eastAsia"/>
          <w:sz w:val="24"/>
          <w:szCs w:val="24"/>
        </w:rPr>
        <w:t>四、申报人应当如实、详细填写《债权申报表》以及提供完整、真实有效的申报材料。</w:t>
      </w:r>
      <w:r>
        <w:rPr>
          <w:rFonts w:ascii="宋体" w:eastAsia="宋体" w:hAnsi="宋体" w:hint="eastAsia"/>
          <w:b/>
          <w:sz w:val="24"/>
          <w:szCs w:val="24"/>
        </w:rPr>
        <w:t>申报债权应提供如下材料（一式两份）：</w:t>
      </w:r>
      <w:r>
        <w:rPr>
          <w:rFonts w:ascii="宋体" w:eastAsia="宋体" w:hAnsi="宋体" w:hint="eastAsia"/>
          <w:b/>
          <w:sz w:val="24"/>
          <w:szCs w:val="24"/>
        </w:rPr>
        <w:t xml:space="preserve"> </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、《债权申报文件清单》、《债权申报表》、《送达地址确认书》；</w:t>
      </w:r>
      <w:r>
        <w:rPr>
          <w:rFonts w:ascii="宋体" w:eastAsia="宋体" w:hAnsi="宋体" w:hint="eastAsia"/>
          <w:sz w:val="24"/>
          <w:szCs w:val="24"/>
        </w:rPr>
        <w:t xml:space="preserve"> </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债权人已年检的营业执照复印件（加盖公章）、组织机构代码证复印件（加盖公章，如五证合一无需提供）、法定代表人身份证明书（原件）、法定代表人身份证复印件（签字确认）；债权人为自然人的，应提供个人身份证明（复印件签字确认）；委托代理人申报的，需提交代理人授权委托书（原件）及代理人身份证件（复印件签字确认），委托</w:t>
      </w:r>
      <w:r>
        <w:rPr>
          <w:rFonts w:ascii="宋体" w:eastAsia="宋体" w:hAnsi="宋体" w:hint="eastAsia"/>
          <w:sz w:val="24"/>
          <w:szCs w:val="24"/>
        </w:rPr>
        <w:t>代理人是律师的还应提交律师事务所的指派函及律师执业证复印件；</w:t>
      </w:r>
      <w:r>
        <w:rPr>
          <w:rFonts w:ascii="宋体" w:eastAsia="宋体" w:hAnsi="宋体" w:hint="eastAsia"/>
          <w:sz w:val="24"/>
          <w:szCs w:val="24"/>
        </w:rPr>
        <w:t xml:space="preserve"> </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证明债权事实的相关证据材料。申报人应当以与证据原件核对无误的复印件申报，证据材料应当附证据清单。（进入司法程序或仲裁程序的，同时提交司法部门或仲裁机构出具的相关法律文书及相关法律文书的生效证明）</w:t>
      </w:r>
      <w:r>
        <w:rPr>
          <w:rFonts w:ascii="宋体" w:eastAsia="宋体" w:hAnsi="宋体" w:hint="eastAsia"/>
          <w:sz w:val="24"/>
          <w:szCs w:val="24"/>
        </w:rPr>
        <w:t xml:space="preserve"> </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五、现场申报的，申报人应当严格遵守申报秩序，服从管理人工作人员的安排，有序申报，并务必携带债权申报证据原件以便与管理人核对。</w:t>
      </w:r>
      <w:r>
        <w:rPr>
          <w:rFonts w:ascii="宋体" w:eastAsia="宋体" w:hAnsi="宋体" w:hint="eastAsia"/>
          <w:sz w:val="24"/>
          <w:szCs w:val="24"/>
        </w:rPr>
        <w:t xml:space="preserve"> </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选择邮寄的，请邮寄至：</w:t>
      </w:r>
      <w:r>
        <w:rPr>
          <w:rFonts w:ascii="宋体" w:eastAsia="宋体" w:hAnsi="宋体" w:hint="eastAsia"/>
          <w:sz w:val="24"/>
          <w:szCs w:val="24"/>
        </w:rPr>
        <w:t>浙江天乐数码电器</w:t>
      </w:r>
      <w:r>
        <w:rPr>
          <w:rFonts w:ascii="宋体" w:eastAsia="宋体" w:hAnsi="宋体" w:hint="eastAsia"/>
          <w:sz w:val="24"/>
          <w:szCs w:val="24"/>
        </w:rPr>
        <w:t>有限公司管理人边献勇</w:t>
      </w:r>
      <w:r>
        <w:rPr>
          <w:rFonts w:ascii="宋体" w:eastAsia="宋体" w:hAnsi="宋体" w:hint="eastAsia"/>
          <w:sz w:val="24"/>
          <w:szCs w:val="24"/>
        </w:rPr>
        <w:t>、</w:t>
      </w:r>
      <w:r>
        <w:rPr>
          <w:rFonts w:ascii="宋体" w:eastAsia="宋体" w:hAnsi="宋体" w:hint="eastAsia"/>
          <w:sz w:val="24"/>
          <w:szCs w:val="24"/>
        </w:rPr>
        <w:t>章坚</w:t>
      </w:r>
      <w:r>
        <w:rPr>
          <w:rFonts w:ascii="宋体" w:eastAsia="宋体" w:hAnsi="宋体" w:hint="eastAsia"/>
          <w:sz w:val="24"/>
          <w:szCs w:val="24"/>
        </w:rPr>
        <w:t>律师收，地址：新昌县七星街道和悦广场写字楼</w:t>
      </w:r>
      <w:r>
        <w:rPr>
          <w:rFonts w:ascii="宋体" w:eastAsia="宋体" w:hAnsi="宋体" w:hint="eastAsia"/>
          <w:sz w:val="24"/>
          <w:szCs w:val="24"/>
        </w:rPr>
        <w:t>6</w:t>
      </w:r>
      <w:r>
        <w:rPr>
          <w:rFonts w:ascii="宋体" w:eastAsia="宋体" w:hAnsi="宋体" w:hint="eastAsia"/>
          <w:sz w:val="24"/>
          <w:szCs w:val="24"/>
        </w:rPr>
        <w:t>楼，浙江泽大（新昌）律师事务所，邮政编码：</w:t>
      </w:r>
      <w:r>
        <w:rPr>
          <w:rFonts w:ascii="宋体" w:eastAsia="宋体" w:hAnsi="宋体" w:hint="eastAsia"/>
          <w:sz w:val="24"/>
          <w:szCs w:val="24"/>
        </w:rPr>
        <w:t>312500</w:t>
      </w:r>
      <w:r>
        <w:rPr>
          <w:rFonts w:ascii="宋体" w:eastAsia="宋体" w:hAnsi="宋体" w:hint="eastAsia"/>
          <w:sz w:val="24"/>
          <w:szCs w:val="24"/>
        </w:rPr>
        <w:t>，联系电话：</w:t>
      </w:r>
      <w:r>
        <w:rPr>
          <w:rFonts w:ascii="宋体" w:eastAsia="宋体" w:hAnsi="宋体" w:hint="eastAsia"/>
          <w:sz w:val="24"/>
          <w:szCs w:val="24"/>
        </w:rPr>
        <w:t>15167538558</w:t>
      </w:r>
      <w:r>
        <w:rPr>
          <w:rFonts w:ascii="宋体" w:eastAsia="宋体" w:hAnsi="宋体" w:hint="eastAsia"/>
          <w:sz w:val="24"/>
          <w:szCs w:val="24"/>
        </w:rPr>
        <w:t>，</w:t>
      </w:r>
      <w:r>
        <w:rPr>
          <w:rFonts w:ascii="宋体" w:eastAsia="宋体" w:hAnsi="宋体" w:hint="eastAsia"/>
          <w:sz w:val="24"/>
          <w:szCs w:val="24"/>
        </w:rPr>
        <w:t>13957578848</w:t>
      </w:r>
      <w:r>
        <w:rPr>
          <w:rFonts w:ascii="宋体" w:eastAsia="宋体" w:hAnsi="宋体" w:hint="eastAsia"/>
          <w:sz w:val="24"/>
          <w:szCs w:val="24"/>
        </w:rPr>
        <w:t>。请在邮寄单注明“</w:t>
      </w:r>
      <w:r>
        <w:rPr>
          <w:rFonts w:ascii="宋体" w:eastAsia="宋体" w:hAnsi="宋体" w:hint="eastAsia"/>
          <w:sz w:val="24"/>
          <w:szCs w:val="24"/>
        </w:rPr>
        <w:t>浙江天乐数码电器</w:t>
      </w:r>
      <w:r>
        <w:rPr>
          <w:rFonts w:ascii="宋体" w:eastAsia="宋体" w:hAnsi="宋体" w:hint="eastAsia"/>
          <w:sz w:val="24"/>
          <w:szCs w:val="24"/>
        </w:rPr>
        <w:t>有限公司债权申报”字样，并保留邮件寄送底单。管理人将在收到申报材料之后确定时间核对证据原件。</w:t>
      </w:r>
      <w:r>
        <w:rPr>
          <w:rFonts w:ascii="宋体" w:eastAsia="宋体" w:hAnsi="宋体" w:hint="eastAsia"/>
          <w:sz w:val="24"/>
          <w:szCs w:val="24"/>
        </w:rPr>
        <w:t xml:space="preserve"> </w:t>
      </w:r>
    </w:p>
    <w:p w:rsidR="00253C27" w:rsidRDefault="00E15327">
      <w:pPr>
        <w:spacing w:line="420" w:lineRule="exact"/>
        <w:ind w:firstLine="480"/>
        <w:rPr>
          <w:rFonts w:ascii="宋体" w:eastAsia="宋体" w:hAnsi="宋体"/>
          <w:sz w:val="24"/>
          <w:szCs w:val="24"/>
        </w:rPr>
      </w:pPr>
      <w:r>
        <w:rPr>
          <w:rFonts w:ascii="宋体" w:eastAsia="宋体" w:hAnsi="宋体" w:hint="eastAsia"/>
          <w:sz w:val="24"/>
          <w:szCs w:val="24"/>
        </w:rPr>
        <w:t>债权人未能在管理人确定的时间内提供证据原件的，申报的债权管理人不予确认。</w:t>
      </w:r>
      <w:r>
        <w:rPr>
          <w:rFonts w:ascii="宋体" w:eastAsia="宋体" w:hAnsi="宋体" w:hint="eastAsia"/>
          <w:sz w:val="24"/>
          <w:szCs w:val="24"/>
        </w:rPr>
        <w:t xml:space="preserve"> </w:t>
      </w:r>
      <w:bookmarkStart w:id="0" w:name="_GoBack"/>
      <w:bookmarkEnd w:id="0"/>
    </w:p>
    <w:p w:rsidR="00253C27" w:rsidRDefault="00E15327">
      <w:pPr>
        <w:spacing w:line="420" w:lineRule="exact"/>
        <w:ind w:firstLine="480"/>
        <w:jc w:val="right"/>
        <w:rPr>
          <w:rFonts w:ascii="宋体" w:eastAsia="宋体" w:hAnsi="宋体"/>
          <w:sz w:val="24"/>
          <w:szCs w:val="24"/>
        </w:rPr>
      </w:pPr>
      <w:r>
        <w:rPr>
          <w:rFonts w:ascii="宋体" w:eastAsia="宋体" w:hAnsi="宋体" w:hint="eastAsia"/>
          <w:sz w:val="24"/>
          <w:szCs w:val="24"/>
        </w:rPr>
        <w:t>浙江天乐数码电器</w:t>
      </w:r>
      <w:r>
        <w:rPr>
          <w:rFonts w:ascii="宋体" w:eastAsia="宋体" w:hAnsi="宋体" w:hint="eastAsia"/>
          <w:sz w:val="24"/>
          <w:szCs w:val="24"/>
        </w:rPr>
        <w:t>有限公司破产管理人</w:t>
      </w:r>
    </w:p>
    <w:p w:rsidR="00253C27" w:rsidRDefault="00E15327">
      <w:pPr>
        <w:spacing w:line="420" w:lineRule="exact"/>
        <w:ind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2018</w:t>
      </w:r>
      <w:r>
        <w:rPr>
          <w:rFonts w:ascii="宋体" w:eastAsia="宋体" w:hAnsi="宋体"/>
          <w:sz w:val="24"/>
          <w:szCs w:val="24"/>
        </w:rPr>
        <w:t>年</w:t>
      </w:r>
      <w:r>
        <w:rPr>
          <w:rFonts w:ascii="宋体" w:eastAsia="宋体" w:hAnsi="宋体" w:hint="eastAsia"/>
          <w:sz w:val="24"/>
          <w:szCs w:val="24"/>
        </w:rPr>
        <w:t>8</w:t>
      </w:r>
      <w:r>
        <w:rPr>
          <w:rFonts w:ascii="宋体" w:eastAsia="宋体" w:hAnsi="宋体"/>
          <w:sz w:val="24"/>
          <w:szCs w:val="24"/>
        </w:rPr>
        <w:t>月</w:t>
      </w:r>
      <w:r>
        <w:rPr>
          <w:rFonts w:ascii="宋体" w:eastAsia="宋体" w:hAnsi="宋体" w:hint="eastAsia"/>
          <w:sz w:val="24"/>
          <w:szCs w:val="24"/>
        </w:rPr>
        <w:t>22</w:t>
      </w:r>
      <w:r>
        <w:rPr>
          <w:rFonts w:ascii="宋体" w:eastAsia="宋体" w:hAnsi="宋体" w:hint="eastAsia"/>
          <w:sz w:val="24"/>
          <w:szCs w:val="24"/>
        </w:rPr>
        <w:t>日</w:t>
      </w:r>
    </w:p>
    <w:sectPr w:rsidR="00253C27" w:rsidSect="00253C27">
      <w:pgSz w:w="11900" w:h="16840"/>
      <w:pgMar w:top="1440" w:right="1588"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DengXia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156C"/>
    <w:rsid w:val="00141575"/>
    <w:rsid w:val="00253C27"/>
    <w:rsid w:val="00475250"/>
    <w:rsid w:val="00487F34"/>
    <w:rsid w:val="00651BAC"/>
    <w:rsid w:val="00974693"/>
    <w:rsid w:val="00C96B8B"/>
    <w:rsid w:val="00E15327"/>
    <w:rsid w:val="00FA156C"/>
    <w:rsid w:val="25253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C27"/>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Administrator</cp:lastModifiedBy>
  <cp:revision>4</cp:revision>
  <cp:lastPrinted>2018-03-31T05:20:00Z</cp:lastPrinted>
  <dcterms:created xsi:type="dcterms:W3CDTF">2018-03-15T05:16:00Z</dcterms:created>
  <dcterms:modified xsi:type="dcterms:W3CDTF">2018-11-09T03:48:00Z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